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7D01AFD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51300" w:rsidRPr="00CD5A36">
        <w:rPr>
          <w:rFonts w:ascii="Arial" w:hAnsi="Arial" w:cs="Arial"/>
          <w:b/>
          <w:sz w:val="24"/>
          <w:szCs w:val="24"/>
        </w:rPr>
        <w:t>98-</w:t>
      </w:r>
      <w:r w:rsidR="00951300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5E68DB" w:rsidRPr="005E68DB">
        <w:rPr>
          <w:rFonts w:ascii="Arial" w:hAnsi="Arial" w:cs="Arial"/>
          <w:b/>
          <w:sz w:val="24"/>
          <w:szCs w:val="24"/>
        </w:rPr>
        <w:t>R4-2104848</w:t>
      </w:r>
    </w:p>
    <w:p w14:paraId="2C67BE8C" w14:textId="3845A05D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70CB8F8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4C1BA4">
        <w:rPr>
          <w:sz w:val="24"/>
          <w:szCs w:val="24"/>
        </w:rPr>
        <w:t>12.1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A85164C" w:rsidR="009F52D7" w:rsidRPr="00303915" w:rsidRDefault="009F52D7" w:rsidP="004C1BA4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4C1BA4" w:rsidRPr="004C1BA4">
        <w:rPr>
          <w:sz w:val="24"/>
          <w:szCs w:val="24"/>
        </w:rPr>
        <w:t>Discussion on reply LS on TCI State Update for L1/L2-Centric Inter-Cell Mobility</w:t>
      </w:r>
    </w:p>
    <w:p w14:paraId="2AB0E874" w14:textId="5238FC3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4C1BA4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4DE6CE4C" w14:textId="1D2025C7" w:rsidR="00255755" w:rsidRPr="00902CCA" w:rsidRDefault="00255755" w:rsidP="00255755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RAN4 has received an LS from RAN1 on </w:t>
      </w:r>
      <w:r w:rsidRPr="00255755">
        <w:rPr>
          <w:sz w:val="20"/>
          <w:szCs w:val="20"/>
        </w:rPr>
        <w:t xml:space="preserve">TCI State Update for L1/L2-Centric Inter-Cell Mobility </w:t>
      </w:r>
      <w:r>
        <w:rPr>
          <w:sz w:val="20"/>
          <w:szCs w:val="20"/>
        </w:rPr>
        <w:t>[1]. In this contribution we discuss the questions raised by RAN1 and propose replies to those. The draft LS reply is provided in the Appendix.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364EEAEA" w14:textId="77777777" w:rsidR="00255755" w:rsidRPr="00BC5064" w:rsidRDefault="00255755" w:rsidP="00BC5064">
      <w:pPr>
        <w:spacing w:after="120"/>
        <w:rPr>
          <w:sz w:val="20"/>
          <w:szCs w:val="20"/>
        </w:rPr>
      </w:pPr>
      <w:r w:rsidRPr="00BC5064">
        <w:rPr>
          <w:sz w:val="20"/>
          <w:szCs w:val="20"/>
        </w:rPr>
        <w:t xml:space="preserve">RAN1 discussed the support of L1/L2-centric inter-cell mobility and made the following agreement.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5064" w14:paraId="775D232D" w14:textId="77777777" w:rsidTr="00BC5064">
        <w:tc>
          <w:tcPr>
            <w:tcW w:w="9350" w:type="dxa"/>
          </w:tcPr>
          <w:p w14:paraId="2C67EC4A" w14:textId="77777777" w:rsidR="00BC5064" w:rsidRPr="00EE697F" w:rsidRDefault="00BC5064" w:rsidP="00BC5064">
            <w:pPr>
              <w:rPr>
                <w:rFonts w:cs="Times"/>
                <w:color w:val="000000"/>
                <w:lang w:eastAsia="ko-KR"/>
              </w:rPr>
            </w:pPr>
            <w:r w:rsidRPr="00EE697F">
              <w:rPr>
                <w:rFonts w:cs="Times"/>
                <w:b/>
                <w:bCs/>
                <w:color w:val="000000"/>
                <w:highlight w:val="green"/>
              </w:rPr>
              <w:t>Agreement</w:t>
            </w:r>
          </w:p>
          <w:p w14:paraId="29E0AE72" w14:textId="77777777" w:rsidR="00BC5064" w:rsidRPr="00EE697F" w:rsidRDefault="00BC5064" w:rsidP="00BC5064">
            <w:pPr>
              <w:rPr>
                <w:rFonts w:cs="Times"/>
              </w:rPr>
            </w:pPr>
            <w:r w:rsidRPr="00EE697F">
              <w:rPr>
                <w:rFonts w:cs="Times"/>
              </w:rPr>
              <w:t xml:space="preserve">On Rel.17 enhancements </w:t>
            </w:r>
            <w:r w:rsidRPr="00EE697F">
              <w:rPr>
                <w:rFonts w:cs="Times"/>
                <w:color w:val="000000"/>
              </w:rPr>
              <w:t xml:space="preserve">for L1/L2-centric inter-cell mobility, </w:t>
            </w:r>
          </w:p>
          <w:p w14:paraId="2B9123E8" w14:textId="77777777" w:rsidR="00BC5064" w:rsidRPr="00EE697F" w:rsidRDefault="00BC5064" w:rsidP="00BC5064">
            <w:pPr>
              <w:numPr>
                <w:ilvl w:val="0"/>
                <w:numId w:val="3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 xml:space="preserve">Discuss whether to support at least the source RS types already agreed for intra-cell mobility for the purpose of referencing to non-serving cell(s). Note: This implies the following source RS(s): </w:t>
            </w:r>
          </w:p>
          <w:p w14:paraId="7A1B429C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CSI-RS for BM configured for non-serving cell(s) for DL QCL and UL TX spatial references</w:t>
            </w:r>
          </w:p>
          <w:p w14:paraId="02D757E2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CSI-RS for tracking (TRS) configured for non-serving cell(s) for DL QCL and UL TX spatial references</w:t>
            </w:r>
          </w:p>
          <w:p w14:paraId="1A531A4C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SSB configured for non-serving cell(s) for UL TX spatial references</w:t>
            </w:r>
          </w:p>
          <w:p w14:paraId="01249B00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SRS for BM configured for non-serving cell(s) for UL TX spatial references</w:t>
            </w:r>
          </w:p>
          <w:p w14:paraId="745AFAC1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 xml:space="preserve">FFS: whether to support CSI-RS for mobility </w:t>
            </w:r>
          </w:p>
          <w:p w14:paraId="6152C150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FFS: whether to support other source RS(s) potentially agreed later for intra-cell mobility</w:t>
            </w:r>
          </w:p>
          <w:p w14:paraId="3ECF018A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FFS: whether to support CSI-RS for BM and tracking configured for non-serving cell(s) and without non-serving cell SSB as QCL-</w:t>
            </w:r>
            <w:proofErr w:type="spellStart"/>
            <w:r w:rsidRPr="00EE697F">
              <w:rPr>
                <w:rFonts w:cs="Times"/>
              </w:rPr>
              <w:t>TypeD</w:t>
            </w:r>
            <w:proofErr w:type="spellEnd"/>
            <w:r w:rsidRPr="00EE697F">
              <w:rPr>
                <w:rFonts w:cs="Times"/>
              </w:rPr>
              <w:t xml:space="preserve"> source</w:t>
            </w:r>
          </w:p>
          <w:p w14:paraId="267ADF0E" w14:textId="77777777" w:rsidR="00BC5064" w:rsidRPr="00EE697F" w:rsidRDefault="00BC5064" w:rsidP="00BC5064">
            <w:pPr>
              <w:numPr>
                <w:ilvl w:val="0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 xml:space="preserve">Send an LS to RAN2 on TCI state update (beam indication) using source RS configured for non-serving cell(s) for DL reception and UL transmission. The following topics are considered for the LS: </w:t>
            </w:r>
          </w:p>
          <w:p w14:paraId="52CBE058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RRC configuration issues</w:t>
            </w:r>
          </w:p>
          <w:p w14:paraId="726A7C03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Serving cell issues</w:t>
            </w:r>
          </w:p>
          <w:p w14:paraId="7A247C71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C-RNTI issues</w:t>
            </w:r>
          </w:p>
          <w:p w14:paraId="64C6F6E8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Issues related to CU-DU split</w:t>
            </w:r>
          </w:p>
          <w:p w14:paraId="3FFB05DC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Inter-band CA issues</w:t>
            </w:r>
          </w:p>
          <w:p w14:paraId="1C1CB220" w14:textId="77777777" w:rsidR="00BC5064" w:rsidRPr="00EE697F" w:rsidRDefault="00BC5064" w:rsidP="00BC5064">
            <w:pPr>
              <w:numPr>
                <w:ilvl w:val="1"/>
                <w:numId w:val="4"/>
              </w:numPr>
              <w:jc w:val="left"/>
              <w:rPr>
                <w:rFonts w:cs="Times"/>
              </w:rPr>
            </w:pPr>
            <w:r w:rsidRPr="00EE697F">
              <w:rPr>
                <w:rFonts w:cs="Times"/>
              </w:rPr>
              <w:t>Inter-frequency issues</w:t>
            </w:r>
          </w:p>
          <w:p w14:paraId="7A1E4C2C" w14:textId="77777777" w:rsidR="00BC5064" w:rsidRDefault="00BC5064" w:rsidP="00255755">
            <w:pPr>
              <w:snapToGrid w:val="0"/>
            </w:pPr>
          </w:p>
        </w:tc>
      </w:tr>
    </w:tbl>
    <w:p w14:paraId="01974AD6" w14:textId="77777777" w:rsidR="00255755" w:rsidRDefault="00255755" w:rsidP="005B410D">
      <w:pPr>
        <w:spacing w:after="120"/>
        <w:rPr>
          <w:sz w:val="20"/>
          <w:szCs w:val="20"/>
        </w:rPr>
      </w:pPr>
    </w:p>
    <w:p w14:paraId="6710D110" w14:textId="195A1A91" w:rsidR="009F52D7" w:rsidRDefault="00255755" w:rsidP="005B410D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>RAN1 seeks input from RAN</w:t>
      </w:r>
      <w:r w:rsidR="00BC5064">
        <w:rPr>
          <w:sz w:val="20"/>
          <w:szCs w:val="20"/>
        </w:rPr>
        <w:t>4</w:t>
      </w:r>
      <w:r>
        <w:rPr>
          <w:sz w:val="20"/>
          <w:szCs w:val="20"/>
        </w:rPr>
        <w:t xml:space="preserve"> on inter-band CA and inter-frequency issues in the context of </w:t>
      </w:r>
      <w:r w:rsidRPr="00255755">
        <w:rPr>
          <w:sz w:val="20"/>
          <w:szCs w:val="20"/>
          <w:lang w:val="en-GB"/>
        </w:rPr>
        <w:t>L1/L2-centric inter-cell mobility and inter-cell multi-TRP operations</w:t>
      </w:r>
      <w:r>
        <w:rPr>
          <w:sz w:val="20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10DC" w14:paraId="1A57563D" w14:textId="77777777" w:rsidTr="00B910DC">
        <w:tc>
          <w:tcPr>
            <w:tcW w:w="9350" w:type="dxa"/>
          </w:tcPr>
          <w:p w14:paraId="65933A99" w14:textId="77777777" w:rsidR="00B910DC" w:rsidRPr="00BC5064" w:rsidRDefault="00B910DC" w:rsidP="00B910DC">
            <w:pPr>
              <w:snapToGrid w:val="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BC5064">
              <w:rPr>
                <w:rFonts w:eastAsia="SimSun"/>
                <w:b/>
                <w:bCs/>
                <w:sz w:val="20"/>
                <w:szCs w:val="20"/>
                <w:lang w:val="en-GB" w:eastAsia="zh-CN"/>
              </w:rPr>
              <w:t>Question 5</w:t>
            </w:r>
            <w:r w:rsidRPr="00BC5064">
              <w:rPr>
                <w:rFonts w:eastAsia="SimSun"/>
                <w:sz w:val="20"/>
                <w:szCs w:val="20"/>
                <w:lang w:val="en-GB" w:eastAsia="zh-CN"/>
              </w:rPr>
              <w:t>: In regard of CA issues, RAN1 is discussing whether the operation is supported only for intra-band CA scenario (</w:t>
            </w:r>
            <w:proofErr w:type="gramStart"/>
            <w:r w:rsidRPr="00BC5064">
              <w:rPr>
                <w:rFonts w:eastAsia="SimSun"/>
                <w:sz w:val="20"/>
                <w:szCs w:val="20"/>
                <w:lang w:val="en-GB" w:eastAsia="zh-CN"/>
              </w:rPr>
              <w:t>i.e.</w:t>
            </w:r>
            <w:proofErr w:type="gramEnd"/>
            <w:r w:rsidRPr="00BC5064">
              <w:rPr>
                <w:rFonts w:eastAsia="SimSun"/>
                <w:sz w:val="20"/>
                <w:szCs w:val="20"/>
                <w:lang w:val="en-GB" w:eastAsia="zh-CN"/>
              </w:rPr>
              <w:t xml:space="preserve"> UE is configured to operate with serving and non-serving cells that belong to the same frequency </w:t>
            </w:r>
            <w:r w:rsidRPr="00BC5064">
              <w:rPr>
                <w:rFonts w:eastAsia="SimSun"/>
                <w:sz w:val="20"/>
                <w:szCs w:val="20"/>
                <w:lang w:val="en-GB" w:eastAsia="zh-CN"/>
              </w:rPr>
              <w:lastRenderedPageBreak/>
              <w:t>band) or for both intra-band CA and inter-band CA scenarios. Note that one common TCI state ID associated with a non-serving cell, if supported, may be optionally applied for CCs in a band.</w:t>
            </w:r>
          </w:p>
          <w:p w14:paraId="5C3BF06C" w14:textId="77777777" w:rsidR="00B910DC" w:rsidRPr="00BC5064" w:rsidRDefault="00B910DC" w:rsidP="00B910DC">
            <w:pPr>
              <w:numPr>
                <w:ilvl w:val="0"/>
                <w:numId w:val="5"/>
              </w:numPr>
              <w:snapToGrid w:val="0"/>
              <w:contextualSpacing/>
              <w:jc w:val="left"/>
              <w:rPr>
                <w:rFonts w:eastAsia="Times New Roman"/>
                <w:sz w:val="20"/>
                <w:szCs w:val="20"/>
                <w:lang w:val="x-none" w:eastAsia="zh-CN"/>
              </w:rPr>
            </w:pPr>
            <w:r w:rsidRPr="00BC5064">
              <w:rPr>
                <w:rFonts w:eastAsia="Times New Roman"/>
                <w:sz w:val="20"/>
                <w:szCs w:val="20"/>
                <w:lang w:val="x-none" w:eastAsia="zh-CN"/>
              </w:rPr>
              <w:t xml:space="preserve">Are there specific </w:t>
            </w:r>
            <w:r w:rsidRPr="00BC5064">
              <w:rPr>
                <w:rFonts w:eastAsia="Times New Roman"/>
                <w:sz w:val="20"/>
                <w:szCs w:val="20"/>
                <w:lang w:eastAsia="zh-CN"/>
              </w:rPr>
              <w:t xml:space="preserve">RAN2/4 </w:t>
            </w:r>
            <w:r w:rsidRPr="00BC5064">
              <w:rPr>
                <w:rFonts w:eastAsia="Times New Roman"/>
                <w:sz w:val="20"/>
                <w:szCs w:val="20"/>
                <w:lang w:val="x-none" w:eastAsia="zh-CN"/>
              </w:rPr>
              <w:t xml:space="preserve">issues (including higher-layer impact) that need to be considered </w:t>
            </w:r>
            <w:r w:rsidRPr="00BC5064">
              <w:rPr>
                <w:rFonts w:eastAsia="Times New Roman"/>
                <w:sz w:val="20"/>
                <w:szCs w:val="20"/>
                <w:lang w:eastAsia="zh-CN"/>
              </w:rPr>
              <w:t>for deciding  between the two alternatives</w:t>
            </w:r>
            <w:r w:rsidRPr="00BC5064">
              <w:rPr>
                <w:rFonts w:eastAsia="Times New Roman"/>
                <w:sz w:val="20"/>
                <w:szCs w:val="20"/>
                <w:lang w:val="x-none" w:eastAsia="zh-CN"/>
              </w:rPr>
              <w:t xml:space="preserve">? </w:t>
            </w:r>
          </w:p>
          <w:p w14:paraId="4F480E3F" w14:textId="77777777" w:rsidR="00B910DC" w:rsidRDefault="00B910DC" w:rsidP="00BC5064">
            <w:pPr>
              <w:snapToGrid w:val="0"/>
              <w:rPr>
                <w:rFonts w:eastAsia="SimSun"/>
                <w:b/>
                <w:bCs/>
                <w:sz w:val="20"/>
                <w:szCs w:val="20"/>
                <w:lang w:val="en-GB" w:eastAsia="zh-CN"/>
              </w:rPr>
            </w:pPr>
          </w:p>
        </w:tc>
      </w:tr>
    </w:tbl>
    <w:p w14:paraId="34F3765E" w14:textId="164FDF0E" w:rsidR="00B910DC" w:rsidRDefault="00B910DC" w:rsidP="00BC5064">
      <w:pPr>
        <w:snapToGrid w:val="0"/>
        <w:rPr>
          <w:rFonts w:eastAsia="SimSun"/>
          <w:b/>
          <w:bCs/>
          <w:sz w:val="20"/>
          <w:szCs w:val="20"/>
          <w:lang w:val="en-GB" w:eastAsia="zh-CN"/>
        </w:rPr>
      </w:pPr>
    </w:p>
    <w:p w14:paraId="112CE512" w14:textId="748DA80F" w:rsidR="00B910DC" w:rsidRPr="00B910DC" w:rsidRDefault="00B910DC" w:rsidP="00BC5064">
      <w:pPr>
        <w:snapToGrid w:val="0"/>
        <w:rPr>
          <w:rFonts w:eastAsia="SimSun"/>
          <w:i/>
          <w:iCs/>
          <w:sz w:val="20"/>
          <w:szCs w:val="20"/>
          <w:lang w:val="en-GB" w:eastAsia="zh-CN"/>
        </w:rPr>
      </w:pPr>
      <w:r w:rsidRPr="00B910DC">
        <w:rPr>
          <w:rFonts w:eastAsia="SimSun"/>
          <w:b/>
          <w:bCs/>
          <w:i/>
          <w:iCs/>
          <w:sz w:val="20"/>
          <w:szCs w:val="20"/>
          <w:lang w:val="en-GB" w:eastAsia="zh-CN"/>
        </w:rPr>
        <w:t xml:space="preserve">Observation #1: </w:t>
      </w:r>
      <w:r w:rsidRPr="00B910DC">
        <w:rPr>
          <w:rFonts w:eastAsia="SimSun"/>
          <w:i/>
          <w:iCs/>
          <w:sz w:val="20"/>
          <w:szCs w:val="20"/>
          <w:lang w:val="en-GB" w:eastAsia="zh-CN"/>
        </w:rPr>
        <w:t xml:space="preserve">From RAN4 viewpoint we don’t see a restriction in supporting the operation in inter-band CA. </w:t>
      </w:r>
    </w:p>
    <w:p w14:paraId="79753285" w14:textId="77777777" w:rsidR="00B910DC" w:rsidRPr="00B910DC" w:rsidRDefault="00B910DC" w:rsidP="00BC5064">
      <w:pPr>
        <w:snapToGrid w:val="0"/>
        <w:rPr>
          <w:rFonts w:eastAsia="SimSun"/>
          <w:sz w:val="20"/>
          <w:szCs w:val="20"/>
          <w:lang w:val="en-GB" w:eastAsia="zh-CN"/>
        </w:rPr>
      </w:pPr>
    </w:p>
    <w:p w14:paraId="35D04252" w14:textId="0CFD3EC7" w:rsidR="00BC5064" w:rsidRPr="00B910DC" w:rsidRDefault="00BC5064" w:rsidP="005B410D">
      <w:pPr>
        <w:spacing w:after="120"/>
        <w:rPr>
          <w:b/>
          <w:bCs/>
          <w:sz w:val="20"/>
          <w:szCs w:val="20"/>
        </w:rPr>
      </w:pPr>
      <w:r w:rsidRPr="00B910DC">
        <w:rPr>
          <w:b/>
          <w:bCs/>
          <w:sz w:val="20"/>
          <w:szCs w:val="20"/>
        </w:rPr>
        <w:t>[</w:t>
      </w:r>
      <w:r w:rsidR="00B910DC" w:rsidRPr="00B910DC">
        <w:rPr>
          <w:b/>
          <w:bCs/>
          <w:sz w:val="20"/>
          <w:szCs w:val="20"/>
        </w:rPr>
        <w:t xml:space="preserve">Proposed </w:t>
      </w:r>
      <w:r w:rsidRPr="00B910DC">
        <w:rPr>
          <w:b/>
          <w:bCs/>
          <w:sz w:val="20"/>
          <w:szCs w:val="20"/>
        </w:rPr>
        <w:t>Response]</w:t>
      </w:r>
    </w:p>
    <w:p w14:paraId="69DE1B8A" w14:textId="4AD1F7B9" w:rsidR="00BC5064" w:rsidRDefault="00BC5064" w:rsidP="005B410D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From RAN4 viewpoint we don’t see a restriction in supporting </w:t>
      </w:r>
      <w:r w:rsidRPr="00255755">
        <w:rPr>
          <w:sz w:val="20"/>
          <w:szCs w:val="20"/>
          <w:lang w:val="en-GB"/>
        </w:rPr>
        <w:t>L1/L2-centric inter-cell mobility and inter-cell multi-TRP operations</w:t>
      </w:r>
      <w:r>
        <w:rPr>
          <w:sz w:val="20"/>
          <w:szCs w:val="20"/>
          <w:lang w:val="en-GB"/>
        </w:rPr>
        <w:t xml:space="preserve"> in inter-band CA.</w:t>
      </w:r>
    </w:p>
    <w:p w14:paraId="741940B5" w14:textId="77777777" w:rsidR="00B910DC" w:rsidRDefault="00B910DC" w:rsidP="005B410D">
      <w:pPr>
        <w:spacing w:after="120"/>
        <w:rPr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10DC" w14:paraId="6065ABC8" w14:textId="77777777" w:rsidTr="00B910DC">
        <w:tc>
          <w:tcPr>
            <w:tcW w:w="9350" w:type="dxa"/>
          </w:tcPr>
          <w:p w14:paraId="02FD3228" w14:textId="77777777" w:rsidR="00B910DC" w:rsidRPr="00BC5064" w:rsidRDefault="00B910DC" w:rsidP="00B910DC">
            <w:pPr>
              <w:snapToGrid w:val="0"/>
              <w:rPr>
                <w:sz w:val="20"/>
                <w:szCs w:val="20"/>
                <w:lang w:eastAsia="zh-CN"/>
              </w:rPr>
            </w:pPr>
            <w:r w:rsidRPr="00BC5064">
              <w:rPr>
                <w:b/>
                <w:bCs/>
                <w:sz w:val="20"/>
                <w:szCs w:val="20"/>
                <w:lang w:eastAsia="zh-CN"/>
              </w:rPr>
              <w:t>Question 6</w:t>
            </w:r>
            <w:r w:rsidRPr="00BC5064">
              <w:rPr>
                <w:sz w:val="20"/>
                <w:szCs w:val="20"/>
                <w:lang w:eastAsia="zh-CN"/>
              </w:rPr>
              <w:t>: In regard of inter-frequency issues, from RAN2/4 perspective, what would be the higher-layer and RRM impact assuming inter-frequency scenarios as opposed to intra-frequency scenarios? For intra-frequency scenario, it is assumed that SSBs of non-serving cells have the same center frequency and SCS as the SSBs of the serving cell.</w:t>
            </w:r>
          </w:p>
          <w:p w14:paraId="4679D44A" w14:textId="77777777" w:rsidR="00B910DC" w:rsidRPr="00BC5064" w:rsidRDefault="00B910DC" w:rsidP="00B910DC">
            <w:pPr>
              <w:pStyle w:val="ListParagraph"/>
              <w:numPr>
                <w:ilvl w:val="0"/>
                <w:numId w:val="6"/>
              </w:numPr>
              <w:snapToGrid w:val="0"/>
              <w:ind w:firstLineChars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5064">
              <w:rPr>
                <w:rFonts w:ascii="Times New Roman" w:hAnsi="Times New Roman" w:cs="Times New Roman"/>
                <w:sz w:val="20"/>
                <w:szCs w:val="20"/>
              </w:rPr>
              <w:t>Note: RAN1 has agreed to support intra-frequency scenarios, whereas the support for inter-frequency scenarios is still for further study.</w:t>
            </w:r>
          </w:p>
          <w:p w14:paraId="24DD7F34" w14:textId="77777777" w:rsidR="00B910DC" w:rsidRDefault="00B910DC" w:rsidP="00BC5064">
            <w:pPr>
              <w:snapToGrid w:val="0"/>
              <w:rPr>
                <w:b/>
                <w:bCs/>
                <w:sz w:val="20"/>
                <w:szCs w:val="20"/>
                <w:lang w:eastAsia="zh-CN"/>
              </w:rPr>
            </w:pPr>
          </w:p>
        </w:tc>
      </w:tr>
    </w:tbl>
    <w:p w14:paraId="4AEEE2E5" w14:textId="498352D1" w:rsidR="00BC5064" w:rsidRDefault="00BC5064" w:rsidP="005B410D">
      <w:pPr>
        <w:spacing w:after="120"/>
        <w:rPr>
          <w:sz w:val="20"/>
          <w:szCs w:val="20"/>
          <w:lang w:val="en-GB"/>
        </w:rPr>
      </w:pPr>
    </w:p>
    <w:p w14:paraId="4E40D366" w14:textId="46B29429" w:rsidR="00BC5064" w:rsidRDefault="00BC5064" w:rsidP="00BC5064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In RAN1 there is agreement that inter-cell multi-TRP operation is only within the same active BWP, hence this question is applicable to </w:t>
      </w:r>
      <w:r w:rsidRPr="00BC5064">
        <w:rPr>
          <w:sz w:val="20"/>
          <w:szCs w:val="20"/>
          <w:lang w:val="en-GB"/>
        </w:rPr>
        <w:t>L1/L2-centric inter-cell mobility</w:t>
      </w:r>
      <w:r>
        <w:rPr>
          <w:sz w:val="20"/>
          <w:szCs w:val="20"/>
          <w:lang w:val="en-GB"/>
        </w:rPr>
        <w:t xml:space="preserve"> alone. In order to support </w:t>
      </w:r>
      <w:r w:rsidRPr="00255755">
        <w:rPr>
          <w:sz w:val="20"/>
          <w:szCs w:val="20"/>
          <w:lang w:val="en-GB"/>
        </w:rPr>
        <w:t>L1/L2-centric inter-cell mobility</w:t>
      </w:r>
      <w:r>
        <w:rPr>
          <w:sz w:val="20"/>
          <w:szCs w:val="20"/>
          <w:lang w:val="en-GB"/>
        </w:rPr>
        <w:t xml:space="preserve">, there has been an agreement in RAN1 to configure neighbour cell L1-RSRP measurements. In order to support such measurements for inter-frequency operation, a measurement gap would need to be configured. </w:t>
      </w:r>
      <w:r w:rsidR="00B910DC">
        <w:rPr>
          <w:sz w:val="20"/>
          <w:szCs w:val="20"/>
          <w:lang w:val="en-GB"/>
        </w:rPr>
        <w:t xml:space="preserve">With a measurement gap configured for inter-frequency </w:t>
      </w:r>
      <w:proofErr w:type="spellStart"/>
      <w:r w:rsidR="00B910DC">
        <w:rPr>
          <w:sz w:val="20"/>
          <w:szCs w:val="20"/>
          <w:lang w:val="en-GB"/>
        </w:rPr>
        <w:t>neighbor</w:t>
      </w:r>
      <w:proofErr w:type="spellEnd"/>
      <w:r w:rsidR="00B910DC">
        <w:rPr>
          <w:sz w:val="20"/>
          <w:szCs w:val="20"/>
          <w:lang w:val="en-GB"/>
        </w:rPr>
        <w:t xml:space="preserve"> cell measurements, our understanding is that the operation can be supported for inter-frequency scenario.</w:t>
      </w:r>
    </w:p>
    <w:p w14:paraId="0BD471ED" w14:textId="7C4AC8EC" w:rsidR="000F497E" w:rsidRPr="009C4485" w:rsidRDefault="00B910DC" w:rsidP="00BC5064">
      <w:pPr>
        <w:spacing w:after="120"/>
        <w:rPr>
          <w:i/>
          <w:iCs/>
          <w:sz w:val="20"/>
          <w:szCs w:val="20"/>
          <w:lang w:val="en-GB"/>
        </w:rPr>
      </w:pPr>
      <w:r>
        <w:rPr>
          <w:b/>
          <w:bCs/>
          <w:i/>
          <w:iCs/>
          <w:sz w:val="20"/>
          <w:szCs w:val="20"/>
          <w:lang w:val="en-GB"/>
        </w:rPr>
        <w:t xml:space="preserve">Observation #2: </w:t>
      </w:r>
      <w:r>
        <w:rPr>
          <w:i/>
          <w:iCs/>
          <w:sz w:val="20"/>
          <w:szCs w:val="20"/>
          <w:lang w:val="en-GB"/>
        </w:rPr>
        <w:t xml:space="preserve">With measurement gaps configured for inter-frequency L1-RSRP measurements, </w:t>
      </w:r>
      <w:r w:rsidRPr="00B910DC">
        <w:rPr>
          <w:i/>
          <w:iCs/>
          <w:sz w:val="20"/>
          <w:szCs w:val="20"/>
          <w:lang w:val="en-GB"/>
        </w:rPr>
        <w:t>L1/L2-centric inter-cell mobility</w:t>
      </w:r>
      <w:r>
        <w:rPr>
          <w:i/>
          <w:iCs/>
          <w:sz w:val="20"/>
          <w:szCs w:val="20"/>
          <w:lang w:val="en-GB"/>
        </w:rPr>
        <w:t xml:space="preserve"> can be supported for inter-frequency scenario.</w:t>
      </w:r>
    </w:p>
    <w:p w14:paraId="2B07D46D" w14:textId="15230A31" w:rsidR="000F497E" w:rsidRDefault="000F497E" w:rsidP="00BC5064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In case </w:t>
      </w:r>
      <w:r w:rsidRPr="00255755">
        <w:rPr>
          <w:sz w:val="20"/>
          <w:szCs w:val="20"/>
          <w:lang w:val="en-GB"/>
        </w:rPr>
        <w:t>L1/L2-centric inter-cell mobility</w:t>
      </w:r>
      <w:r>
        <w:rPr>
          <w:sz w:val="20"/>
          <w:szCs w:val="20"/>
          <w:lang w:val="en-GB"/>
        </w:rPr>
        <w:t xml:space="preserve"> is supported for inter-frequency operation, the TCI state switching delay would need to consider an active BWP switch delay, resulting in a longer switching delay. </w:t>
      </w:r>
    </w:p>
    <w:p w14:paraId="03BA7FA0" w14:textId="0081F866" w:rsidR="000F497E" w:rsidRPr="000F497E" w:rsidRDefault="000F497E" w:rsidP="00BC5064">
      <w:pPr>
        <w:spacing w:after="120"/>
        <w:rPr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  <w:lang w:val="en-GB"/>
        </w:rPr>
        <w:t xml:space="preserve">Observation #3: </w:t>
      </w:r>
      <w:r>
        <w:rPr>
          <w:i/>
          <w:iCs/>
          <w:sz w:val="20"/>
          <w:szCs w:val="20"/>
          <w:lang w:val="en-GB"/>
        </w:rPr>
        <w:t xml:space="preserve">A longer TCI state switching delay would need to be considered if inter-frequency scenario is considered for </w:t>
      </w:r>
      <w:r w:rsidR="009C4485" w:rsidRPr="009C4485">
        <w:rPr>
          <w:i/>
          <w:iCs/>
          <w:sz w:val="20"/>
          <w:szCs w:val="20"/>
          <w:lang w:val="en-GB"/>
        </w:rPr>
        <w:t>L1/L2-centric inter-cell mobility</w:t>
      </w:r>
      <w:r w:rsidR="009C4485">
        <w:rPr>
          <w:i/>
          <w:iCs/>
          <w:sz w:val="20"/>
          <w:szCs w:val="20"/>
          <w:lang w:val="en-GB"/>
        </w:rPr>
        <w:t>.</w:t>
      </w:r>
    </w:p>
    <w:p w14:paraId="5F1045B6" w14:textId="77777777" w:rsidR="009C4485" w:rsidRDefault="00B910DC" w:rsidP="00BC5064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Also, we would like to understand the deployment need for inter-frequency </w:t>
      </w:r>
      <w:r w:rsidRPr="00255755">
        <w:rPr>
          <w:sz w:val="20"/>
          <w:szCs w:val="20"/>
          <w:lang w:val="en-GB"/>
        </w:rPr>
        <w:t>L1/L2-centric inter-cell mobility</w:t>
      </w:r>
      <w:r>
        <w:rPr>
          <w:sz w:val="20"/>
          <w:szCs w:val="20"/>
          <w:lang w:val="en-GB"/>
        </w:rPr>
        <w:t xml:space="preserve"> from </w:t>
      </w:r>
      <w:r w:rsidR="000F497E">
        <w:rPr>
          <w:sz w:val="20"/>
          <w:szCs w:val="20"/>
          <w:lang w:val="en-GB"/>
        </w:rPr>
        <w:t>operator’s</w:t>
      </w:r>
      <w:r>
        <w:rPr>
          <w:sz w:val="20"/>
          <w:szCs w:val="20"/>
          <w:lang w:val="en-GB"/>
        </w:rPr>
        <w:t xml:space="preserve"> viewpoint. </w:t>
      </w:r>
      <w:r w:rsidR="009C4485">
        <w:rPr>
          <w:sz w:val="20"/>
          <w:szCs w:val="20"/>
          <w:lang w:val="en-GB"/>
        </w:rPr>
        <w:t xml:space="preserve">Inter-frequency </w:t>
      </w:r>
      <w:r w:rsidR="009C4485" w:rsidRPr="009C4485">
        <w:rPr>
          <w:sz w:val="20"/>
          <w:szCs w:val="20"/>
          <w:lang w:val="en-GB"/>
        </w:rPr>
        <w:t>L1/L2-centric inter-cell mobility</w:t>
      </w:r>
      <w:r w:rsidR="009C4485">
        <w:rPr>
          <w:sz w:val="20"/>
          <w:szCs w:val="20"/>
          <w:lang w:val="en-GB"/>
        </w:rPr>
        <w:t xml:space="preserve"> should be considered only if there is a deployment need.</w:t>
      </w:r>
    </w:p>
    <w:p w14:paraId="10FA52AF" w14:textId="0A87A3B6" w:rsidR="00B910DC" w:rsidRPr="00B910DC" w:rsidRDefault="009C4485" w:rsidP="00BC5064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  <w:lang w:val="en-GB"/>
        </w:rPr>
        <w:t xml:space="preserve">Proposal #1: Discuss further the deployment need for inter-frequency scenario for </w:t>
      </w:r>
      <w:r w:rsidRPr="009C4485">
        <w:rPr>
          <w:b/>
          <w:bCs/>
          <w:sz w:val="20"/>
          <w:szCs w:val="20"/>
          <w:lang w:val="en-GB"/>
        </w:rPr>
        <w:t>L1/L2-centric inter-cell mobility</w:t>
      </w:r>
      <w:r>
        <w:rPr>
          <w:sz w:val="20"/>
          <w:szCs w:val="20"/>
          <w:lang w:val="en-GB"/>
        </w:rPr>
        <w:t>.</w:t>
      </w:r>
    </w:p>
    <w:p w14:paraId="2DD8029F" w14:textId="74B65B3E" w:rsidR="00BC5064" w:rsidRPr="009C4485" w:rsidRDefault="00BC5064" w:rsidP="00BC5064">
      <w:pPr>
        <w:spacing w:after="120"/>
        <w:rPr>
          <w:b/>
          <w:bCs/>
          <w:sz w:val="20"/>
          <w:szCs w:val="20"/>
        </w:rPr>
      </w:pPr>
      <w:r w:rsidRPr="009C4485">
        <w:rPr>
          <w:b/>
          <w:bCs/>
          <w:sz w:val="20"/>
          <w:szCs w:val="20"/>
        </w:rPr>
        <w:t>[</w:t>
      </w:r>
      <w:r w:rsidR="009C4485" w:rsidRPr="009C4485">
        <w:rPr>
          <w:b/>
          <w:bCs/>
          <w:sz w:val="20"/>
          <w:szCs w:val="20"/>
        </w:rPr>
        <w:t xml:space="preserve">Proposed </w:t>
      </w:r>
      <w:r w:rsidRPr="009C4485">
        <w:rPr>
          <w:b/>
          <w:bCs/>
          <w:sz w:val="20"/>
          <w:szCs w:val="20"/>
        </w:rPr>
        <w:t>Response]</w:t>
      </w:r>
    </w:p>
    <w:p w14:paraId="40B26479" w14:textId="2DF3412A" w:rsidR="009C4485" w:rsidRPr="009C4485" w:rsidRDefault="009B1B0C" w:rsidP="00BC5064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With the assumption that there is deployment need for inter-frequency scenarios for </w:t>
      </w:r>
      <w:r w:rsidRPr="009C4485">
        <w:rPr>
          <w:sz w:val="20"/>
          <w:szCs w:val="20"/>
          <w:lang w:val="en-GB"/>
        </w:rPr>
        <w:t>L1/L2-centric inter-cell mobility</w:t>
      </w:r>
      <w:r>
        <w:rPr>
          <w:sz w:val="20"/>
          <w:szCs w:val="20"/>
        </w:rPr>
        <w:t xml:space="preserve">, from RRM perspective </w:t>
      </w:r>
      <w:r w:rsidR="009C4485">
        <w:rPr>
          <w:sz w:val="20"/>
          <w:szCs w:val="20"/>
          <w:lang w:val="en-GB"/>
        </w:rPr>
        <w:t xml:space="preserve">the following aspects need to be </w:t>
      </w:r>
      <w:r w:rsidR="009C4485" w:rsidRPr="009C4485">
        <w:rPr>
          <w:sz w:val="20"/>
          <w:szCs w:val="20"/>
          <w:lang w:val="en-GB"/>
        </w:rPr>
        <w:t>considered</w:t>
      </w:r>
      <w:r w:rsidR="009C4485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to support it</w:t>
      </w:r>
      <w:r w:rsidR="009C4485">
        <w:rPr>
          <w:sz w:val="20"/>
          <w:szCs w:val="20"/>
          <w:lang w:val="en-GB"/>
        </w:rPr>
        <w:t>:</w:t>
      </w:r>
    </w:p>
    <w:p w14:paraId="10E5DF62" w14:textId="1720ADCF" w:rsidR="009C4485" w:rsidRDefault="009C4485" w:rsidP="009C4485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Configuration of measurement gap to support L1-RSRP measurements on neighbor cell</w:t>
      </w:r>
    </w:p>
    <w:p w14:paraId="5BB88F80" w14:textId="0ACFF45D" w:rsidR="009C4485" w:rsidRPr="009C4485" w:rsidRDefault="009C4485" w:rsidP="009C4485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Additional delay for TCI state switch for inter-frequency</w:t>
      </w:r>
      <w:r w:rsidR="009B1B0C">
        <w:rPr>
          <w:rFonts w:ascii="Times New Roman" w:hAnsi="Times New Roman" w:cs="Times New Roman"/>
          <w:sz w:val="20"/>
          <w:szCs w:val="20"/>
        </w:rPr>
        <w:t xml:space="preserve"> scenario involving active BWP switch</w:t>
      </w:r>
    </w:p>
    <w:p w14:paraId="4E0CFDC8" w14:textId="77777777" w:rsidR="00BC5064" w:rsidRPr="005B410D" w:rsidRDefault="00BC5064" w:rsidP="005B410D">
      <w:pPr>
        <w:spacing w:after="120"/>
        <w:rPr>
          <w:sz w:val="20"/>
          <w:szCs w:val="20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4CCE8977" w14:textId="689CEE0C" w:rsidR="000D0359" w:rsidRDefault="000D0359" w:rsidP="000D0359">
      <w:pPr>
        <w:spacing w:after="120"/>
      </w:pPr>
      <w:r>
        <w:t xml:space="preserve">In this contribution we discuss the response to RAN1 LS on </w:t>
      </w:r>
      <w:r w:rsidRPr="004C1BA4">
        <w:rPr>
          <w:sz w:val="20"/>
          <w:szCs w:val="20"/>
        </w:rPr>
        <w:t>TCI State Update for L1/L2-Centric Inter-Cell Mobility</w:t>
      </w:r>
      <w:r>
        <w:t>. The proposed response to RAN1 is presented and also the draft LS reply is captured in the Appendix.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7E18CDD1" w:rsidR="009F52D7" w:rsidRPr="004C1BA4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4C1BA4" w:rsidRPr="004C1BA4">
        <w:rPr>
          <w:rFonts w:ascii="Times New Roman" w:hAnsi="Times New Roman" w:cs="Times New Roman"/>
          <w:sz w:val="20"/>
          <w:szCs w:val="20"/>
        </w:rPr>
        <w:t>R1-2102248</w:t>
      </w:r>
      <w:r w:rsidRPr="004C1BA4">
        <w:rPr>
          <w:rFonts w:ascii="Times New Roman" w:hAnsi="Times New Roman" w:cs="Times New Roman"/>
          <w:sz w:val="20"/>
          <w:szCs w:val="20"/>
        </w:rPr>
        <w:t>, “</w:t>
      </w:r>
      <w:r w:rsidR="004C1BA4" w:rsidRPr="004C1BA4">
        <w:rPr>
          <w:rFonts w:ascii="Times New Roman" w:hAnsi="Times New Roman" w:cs="Times New Roman"/>
          <w:sz w:val="20"/>
          <w:szCs w:val="20"/>
        </w:rPr>
        <w:t>LS on TCI State Update for L1/L2-Centric Inter-Cell Mobility</w:t>
      </w:r>
      <w:r w:rsidRPr="004C1BA4">
        <w:rPr>
          <w:rFonts w:ascii="Times New Roman" w:hAnsi="Times New Roman" w:cs="Times New Roman"/>
          <w:sz w:val="20"/>
          <w:szCs w:val="20"/>
        </w:rPr>
        <w:t xml:space="preserve">”, </w:t>
      </w:r>
      <w:r w:rsidR="004C1BA4" w:rsidRPr="004C1BA4">
        <w:rPr>
          <w:rFonts w:ascii="Times New Roman" w:hAnsi="Times New Roman" w:cs="Times New Roman"/>
          <w:sz w:val="20"/>
          <w:szCs w:val="20"/>
        </w:rPr>
        <w:t>RAN1, Samsung</w:t>
      </w:r>
      <w:r w:rsidRPr="004C1BA4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20809F95" w14:textId="77777777" w:rsidR="009B1B0C" w:rsidRDefault="009B1B0C" w:rsidP="009B1B0C">
      <w:pPr>
        <w:pStyle w:val="Heading1"/>
        <w:ind w:left="432" w:hanging="432"/>
        <w:rPr>
          <w:lang w:val="en-US"/>
        </w:rPr>
      </w:pPr>
      <w:r>
        <w:rPr>
          <w:lang w:val="en-US"/>
        </w:rPr>
        <w:t>Appendix</w:t>
      </w:r>
    </w:p>
    <w:p w14:paraId="0176C98F" w14:textId="77777777" w:rsidR="009B1B0C" w:rsidRDefault="009B1B0C" w:rsidP="009B1B0C">
      <w:r>
        <w:t>The draft reply LS to RAN1 is captured below.</w:t>
      </w:r>
    </w:p>
    <w:p w14:paraId="451F2FCA" w14:textId="77777777" w:rsidR="009B1B0C" w:rsidRDefault="009B1B0C" w:rsidP="009B1B0C"/>
    <w:p w14:paraId="5879451B" w14:textId="77777777" w:rsidR="009B1B0C" w:rsidRPr="005C2BD1" w:rsidRDefault="009B1B0C" w:rsidP="009B1B0C"/>
    <w:p w14:paraId="3F5CF141" w14:textId="7E4A6557" w:rsidR="009B1B0C" w:rsidRPr="00554399" w:rsidRDefault="009B1B0C" w:rsidP="009B1B0C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8</w:t>
      </w:r>
      <w:r w:rsidRPr="00277FAB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bis-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B9326B">
        <w:rPr>
          <w:rFonts w:ascii="Arial" w:hAnsi="Arial" w:cs="Arial"/>
          <w:b/>
          <w:sz w:val="24"/>
          <w:szCs w:val="24"/>
        </w:rPr>
        <w:t>R4-210</w:t>
      </w:r>
      <w:r>
        <w:rPr>
          <w:rFonts w:ascii="Arial" w:hAnsi="Arial" w:cs="Arial"/>
          <w:b/>
          <w:sz w:val="24"/>
          <w:szCs w:val="24"/>
        </w:rPr>
        <w:t>XXXX</w:t>
      </w:r>
    </w:p>
    <w:p w14:paraId="3EAC2C6D" w14:textId="77777777" w:rsidR="009B1B0C" w:rsidRPr="00554399" w:rsidRDefault="009B1B0C" w:rsidP="009B1B0C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Apr. 12-20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7F6FB14" w14:textId="77777777" w:rsidR="009B1B0C" w:rsidRDefault="009B1B0C" w:rsidP="009B1B0C">
      <w:pPr>
        <w:spacing w:after="60"/>
        <w:ind w:left="1985" w:hanging="1985"/>
        <w:rPr>
          <w:rFonts w:ascii="Arial" w:hAnsi="Arial" w:cs="Arial"/>
          <w:b/>
        </w:rPr>
      </w:pPr>
    </w:p>
    <w:p w14:paraId="590B2E51" w14:textId="7A5C917A" w:rsidR="009B1B0C" w:rsidRPr="00574A66" w:rsidRDefault="009B1B0C" w:rsidP="009B1B0C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Pr="00AB3FBF">
        <w:rPr>
          <w:rFonts w:ascii="Arial" w:eastAsia="MS Mincho" w:hAnsi="Arial" w:cs="Arial"/>
          <w:bCs/>
          <w:lang w:eastAsia="ja-JP"/>
        </w:rPr>
        <w:t xml:space="preserve">LS </w:t>
      </w:r>
      <w:r>
        <w:rPr>
          <w:rFonts w:ascii="Arial" w:eastAsia="MS Mincho" w:hAnsi="Arial" w:cs="Arial"/>
          <w:bCs/>
          <w:lang w:eastAsia="ja-JP"/>
        </w:rPr>
        <w:t xml:space="preserve">Reply </w:t>
      </w:r>
      <w:r w:rsidRPr="00AB3FBF">
        <w:rPr>
          <w:rFonts w:ascii="Arial" w:eastAsia="MS Mincho" w:hAnsi="Arial" w:cs="Arial"/>
          <w:bCs/>
          <w:lang w:eastAsia="ja-JP"/>
        </w:rPr>
        <w:t xml:space="preserve">on </w:t>
      </w:r>
      <w:r w:rsidRPr="009B1B0C">
        <w:rPr>
          <w:rFonts w:ascii="Arial" w:eastAsia="MS Mincho" w:hAnsi="Arial" w:cs="Arial"/>
          <w:bCs/>
          <w:lang w:val="en-GB" w:eastAsia="ja-JP"/>
        </w:rPr>
        <w:t>TCI State Update for L1/L2-Centric Inter-Cell Mobility</w:t>
      </w:r>
    </w:p>
    <w:p w14:paraId="1CFCC39A" w14:textId="77777777" w:rsidR="009B1B0C" w:rsidRPr="00574A66" w:rsidRDefault="009B1B0C" w:rsidP="009B1B0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proofErr w:type="spellStart"/>
      <w:r w:rsidRPr="00CD096D">
        <w:rPr>
          <w:rFonts w:ascii="Arial" w:hAnsi="Arial" w:cs="Arial"/>
          <w:lang w:eastAsia="zh-CN"/>
        </w:rPr>
        <w:t>NR_feMIMO</w:t>
      </w:r>
      <w:proofErr w:type="spellEnd"/>
      <w:r w:rsidRPr="00CD096D">
        <w:rPr>
          <w:rFonts w:ascii="Arial" w:hAnsi="Arial" w:cs="Arial"/>
          <w:lang w:eastAsia="zh-CN"/>
        </w:rPr>
        <w:t>-Core</w:t>
      </w:r>
    </w:p>
    <w:p w14:paraId="27E8AD2F" w14:textId="77777777" w:rsidR="009B1B0C" w:rsidRDefault="009B1B0C" w:rsidP="009B1B0C">
      <w:pPr>
        <w:spacing w:after="60"/>
        <w:ind w:left="1985" w:hanging="1985"/>
        <w:rPr>
          <w:rFonts w:ascii="Arial" w:hAnsi="Arial" w:cs="Arial"/>
          <w:b/>
        </w:rPr>
      </w:pPr>
    </w:p>
    <w:p w14:paraId="2448AD6E" w14:textId="77777777" w:rsidR="009B1B0C" w:rsidRPr="00C45793" w:rsidRDefault="009B1B0C" w:rsidP="009B1B0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 WG4</w:t>
      </w:r>
    </w:p>
    <w:p w14:paraId="13322822" w14:textId="77777777" w:rsidR="009B1B0C" w:rsidRPr="00C45793" w:rsidRDefault="009B1B0C" w:rsidP="009B1B0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</w:t>
      </w:r>
      <w:r>
        <w:rPr>
          <w:rFonts w:ascii="Arial" w:hAnsi="Arial" w:cs="Arial"/>
          <w:bCs/>
        </w:rPr>
        <w:t xml:space="preserve"> WG1</w:t>
      </w:r>
    </w:p>
    <w:p w14:paraId="063A6BA9" w14:textId="77777777" w:rsidR="009B1B0C" w:rsidRPr="00C45793" w:rsidRDefault="009B1B0C" w:rsidP="009B1B0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0A40D491" w14:textId="77777777" w:rsidR="009B1B0C" w:rsidRPr="00C45793" w:rsidRDefault="009B1B0C" w:rsidP="009B1B0C">
      <w:pPr>
        <w:spacing w:after="60"/>
        <w:ind w:left="1985" w:hanging="1985"/>
        <w:rPr>
          <w:rFonts w:ascii="Arial" w:hAnsi="Arial" w:cs="Arial"/>
          <w:bCs/>
        </w:rPr>
      </w:pPr>
    </w:p>
    <w:p w14:paraId="74276B8E" w14:textId="77777777" w:rsidR="009B1B0C" w:rsidRPr="00C45793" w:rsidRDefault="009B1B0C" w:rsidP="009B1B0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27561F39" w14:textId="77777777" w:rsidR="009B1B0C" w:rsidRPr="00337628" w:rsidRDefault="009B1B0C" w:rsidP="009B1B0C">
      <w:pPr>
        <w:pStyle w:val="Heading4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337628">
        <w:rPr>
          <w:rFonts w:ascii="Arial" w:hAnsi="Arial" w:cs="Arial"/>
          <w:i w:val="0"/>
          <w:iCs w:val="0"/>
          <w:color w:val="000000" w:themeColor="text1"/>
        </w:rPr>
        <w:t>Name:</w:t>
      </w:r>
      <w:r w:rsidRPr="00337628">
        <w:rPr>
          <w:rFonts w:ascii="Arial" w:hAnsi="Arial" w:cs="Arial"/>
          <w:i w:val="0"/>
          <w:iCs w:val="0"/>
          <w:color w:val="000000" w:themeColor="text1"/>
        </w:rPr>
        <w:tab/>
      </w:r>
      <w:r>
        <w:rPr>
          <w:rFonts w:ascii="Arial" w:hAnsi="Arial" w:cs="Arial"/>
          <w:i w:val="0"/>
          <w:iCs w:val="0"/>
          <w:color w:val="000000" w:themeColor="text1"/>
          <w:lang w:eastAsia="zh-CN"/>
        </w:rPr>
        <w:t>Manasa Raghavan</w:t>
      </w:r>
      <w:r w:rsidRPr="00337628">
        <w:rPr>
          <w:rFonts w:ascii="Arial" w:hAnsi="Arial" w:cs="Arial"/>
          <w:bCs/>
          <w:i w:val="0"/>
          <w:iCs w:val="0"/>
          <w:color w:val="000000" w:themeColor="text1"/>
        </w:rPr>
        <w:tab/>
      </w:r>
    </w:p>
    <w:p w14:paraId="2DF89245" w14:textId="77777777" w:rsidR="009B1B0C" w:rsidRPr="00337628" w:rsidRDefault="009B1B0C" w:rsidP="009B1B0C">
      <w:pPr>
        <w:pStyle w:val="Heading7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337628">
        <w:rPr>
          <w:rFonts w:ascii="Arial" w:hAnsi="Arial" w:cs="Arial"/>
          <w:i w:val="0"/>
          <w:iCs w:val="0"/>
          <w:color w:val="000000" w:themeColor="text1"/>
        </w:rPr>
        <w:t>E-mail Address:</w:t>
      </w:r>
      <w:r w:rsidRPr="00337628">
        <w:rPr>
          <w:rFonts w:ascii="Arial" w:hAnsi="Arial" w:cs="Arial"/>
          <w:bCs/>
          <w:i w:val="0"/>
          <w:iCs w:val="0"/>
          <w:color w:val="000000" w:themeColor="text1"/>
        </w:rPr>
        <w:tab/>
      </w:r>
      <w:proofErr w:type="spellStart"/>
      <w:r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manasa</w:t>
      </w:r>
      <w:proofErr w:type="spellEnd"/>
      <w:r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[dot]</w:t>
      </w:r>
      <w:proofErr w:type="spellStart"/>
      <w:r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raghavan</w:t>
      </w:r>
      <w:proofErr w:type="spellEnd"/>
      <w:r>
        <w:rPr>
          <w:rFonts w:ascii="Arial" w:hAnsi="Arial" w:cs="Arial"/>
          <w:bCs/>
          <w:i w:val="0"/>
          <w:iCs w:val="0"/>
          <w:color w:val="000000" w:themeColor="text1"/>
          <w:lang w:eastAsia="zh-CN"/>
        </w:rPr>
        <w:t>[at]apple[dot]com</w:t>
      </w:r>
    </w:p>
    <w:p w14:paraId="34101C43" w14:textId="77777777" w:rsidR="009B1B0C" w:rsidRPr="00C45793" w:rsidRDefault="009B1B0C" w:rsidP="009B1B0C">
      <w:pPr>
        <w:spacing w:after="60"/>
        <w:ind w:left="1985" w:hanging="1985"/>
        <w:rPr>
          <w:rFonts w:ascii="Arial" w:hAnsi="Arial" w:cs="Arial"/>
          <w:b/>
        </w:rPr>
      </w:pPr>
    </w:p>
    <w:p w14:paraId="6918FCD8" w14:textId="77777777" w:rsidR="009B1B0C" w:rsidRPr="00C45793" w:rsidRDefault="009B1B0C" w:rsidP="009B1B0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7EA8E7BF" w14:textId="77777777" w:rsidR="009B1B0C" w:rsidRPr="00C45793" w:rsidRDefault="009B1B0C" w:rsidP="009B1B0C">
      <w:pPr>
        <w:pBdr>
          <w:bottom w:val="single" w:sz="4" w:space="1" w:color="auto"/>
        </w:pBdr>
        <w:rPr>
          <w:rFonts w:ascii="Arial" w:hAnsi="Arial" w:cs="Arial"/>
        </w:rPr>
      </w:pPr>
    </w:p>
    <w:p w14:paraId="30CF7F34" w14:textId="77777777" w:rsidR="009B1B0C" w:rsidRPr="00C45793" w:rsidRDefault="009B1B0C" w:rsidP="009B1B0C">
      <w:pPr>
        <w:rPr>
          <w:rFonts w:ascii="Arial" w:hAnsi="Arial" w:cs="Arial"/>
        </w:rPr>
      </w:pPr>
    </w:p>
    <w:p w14:paraId="234FA843" w14:textId="77777777" w:rsidR="009B1B0C" w:rsidRPr="003B5AA7" w:rsidRDefault="009B1B0C" w:rsidP="009B1B0C">
      <w:pPr>
        <w:pStyle w:val="ListParagraph"/>
        <w:numPr>
          <w:ilvl w:val="0"/>
          <w:numId w:val="7"/>
        </w:numPr>
        <w:spacing w:after="120"/>
        <w:ind w:firstLineChars="0"/>
        <w:contextualSpacing/>
        <w:jc w:val="both"/>
        <w:rPr>
          <w:rFonts w:ascii="Arial" w:hAnsi="Arial" w:cs="Arial"/>
          <w:b/>
        </w:rPr>
      </w:pPr>
      <w:r w:rsidRPr="003B5AA7">
        <w:rPr>
          <w:rFonts w:ascii="Arial" w:hAnsi="Arial" w:cs="Arial"/>
          <w:b/>
        </w:rPr>
        <w:t>Overall Description:</w:t>
      </w:r>
    </w:p>
    <w:p w14:paraId="41F6D8EC" w14:textId="2B47E51B" w:rsidR="009B1B0C" w:rsidRPr="00CD096D" w:rsidRDefault="009B1B0C" w:rsidP="009B1B0C">
      <w:pPr>
        <w:spacing w:before="240" w:after="120"/>
        <w:rPr>
          <w:rFonts w:ascii="Arial" w:hAnsi="Arial" w:cs="Arial"/>
          <w:bCs/>
          <w:sz w:val="20"/>
          <w:szCs w:val="20"/>
        </w:rPr>
      </w:pPr>
      <w:r w:rsidRPr="00CD096D">
        <w:rPr>
          <w:rFonts w:ascii="Arial" w:hAnsi="Arial" w:cs="Arial"/>
          <w:bCs/>
          <w:sz w:val="20"/>
          <w:szCs w:val="20"/>
        </w:rPr>
        <w:t xml:space="preserve">RAN4 thanks RAN1 for their enquiry on the topic of </w:t>
      </w:r>
      <w:r w:rsidRPr="009B1B0C">
        <w:rPr>
          <w:rFonts w:ascii="Arial" w:eastAsia="MS Mincho" w:hAnsi="Arial" w:cs="Arial"/>
          <w:bCs/>
          <w:sz w:val="20"/>
          <w:szCs w:val="20"/>
          <w:lang w:val="en-GB" w:eastAsia="ja-JP"/>
        </w:rPr>
        <w:t xml:space="preserve">TCI State Update for L1/L2-Centric Inter-Cell Mobility </w:t>
      </w:r>
      <w:r w:rsidRPr="00CD096D">
        <w:rPr>
          <w:rFonts w:ascii="Arial" w:hAnsi="Arial" w:cs="Arial"/>
          <w:bCs/>
          <w:sz w:val="20"/>
          <w:szCs w:val="20"/>
        </w:rPr>
        <w:t xml:space="preserve">and would like to provide the below responses to the questions asked. </w:t>
      </w:r>
    </w:p>
    <w:p w14:paraId="39AB2E1C" w14:textId="77777777" w:rsidR="009B1B0C" w:rsidRPr="009B1B0C" w:rsidRDefault="009B1B0C" w:rsidP="009B1B0C">
      <w:pPr>
        <w:rPr>
          <w:rFonts w:ascii="Arial" w:hAnsi="Arial" w:cs="Arial"/>
          <w:sz w:val="20"/>
          <w:szCs w:val="20"/>
          <w:lang w:val="en-GB"/>
        </w:rPr>
      </w:pPr>
      <w:r w:rsidRPr="009B1B0C">
        <w:rPr>
          <w:rFonts w:ascii="Arial" w:hAnsi="Arial" w:cs="Arial"/>
          <w:b/>
          <w:bCs/>
          <w:sz w:val="20"/>
          <w:szCs w:val="20"/>
          <w:lang w:val="en-GB"/>
        </w:rPr>
        <w:t xml:space="preserve">Question 5: </w:t>
      </w:r>
      <w:r w:rsidRPr="009B1B0C">
        <w:rPr>
          <w:rFonts w:ascii="Arial" w:hAnsi="Arial" w:cs="Arial"/>
          <w:sz w:val="20"/>
          <w:szCs w:val="20"/>
          <w:lang w:val="en-GB"/>
        </w:rPr>
        <w:t>In regard of CA issues, RAN1 is discussing whether the operation is supported only for intra-band CA scenario (</w:t>
      </w:r>
      <w:proofErr w:type="gramStart"/>
      <w:r w:rsidRPr="009B1B0C">
        <w:rPr>
          <w:rFonts w:ascii="Arial" w:hAnsi="Arial" w:cs="Arial"/>
          <w:sz w:val="20"/>
          <w:szCs w:val="20"/>
          <w:lang w:val="en-GB"/>
        </w:rPr>
        <w:t>i.e.</w:t>
      </w:r>
      <w:proofErr w:type="gramEnd"/>
      <w:r w:rsidRPr="009B1B0C">
        <w:rPr>
          <w:rFonts w:ascii="Arial" w:hAnsi="Arial" w:cs="Arial"/>
          <w:sz w:val="20"/>
          <w:szCs w:val="20"/>
          <w:lang w:val="en-GB"/>
        </w:rPr>
        <w:t xml:space="preserve"> UE is configured to operate with serving and non-serving cells that belong to the same frequency band) or for both intra-band CA and inter-band CA scenarios. Note that one common TCI state ID associated with a non-serving cell, if supported, may be optionally applied for CCs in a band.</w:t>
      </w:r>
    </w:p>
    <w:p w14:paraId="7714C468" w14:textId="77777777" w:rsidR="009B1B0C" w:rsidRPr="009B1B0C" w:rsidRDefault="009B1B0C" w:rsidP="009B1B0C">
      <w:pPr>
        <w:pStyle w:val="ListParagraph"/>
        <w:numPr>
          <w:ilvl w:val="0"/>
          <w:numId w:val="10"/>
        </w:numPr>
        <w:ind w:firstLineChars="0"/>
        <w:rPr>
          <w:rFonts w:ascii="Arial" w:hAnsi="Arial" w:cs="Arial"/>
          <w:sz w:val="20"/>
          <w:szCs w:val="20"/>
          <w:lang w:val="x-none"/>
        </w:rPr>
      </w:pPr>
      <w:r w:rsidRPr="009B1B0C">
        <w:rPr>
          <w:rFonts w:ascii="Arial" w:hAnsi="Arial" w:cs="Arial"/>
          <w:sz w:val="20"/>
          <w:szCs w:val="20"/>
          <w:lang w:val="x-none"/>
        </w:rPr>
        <w:t xml:space="preserve">Are there specific </w:t>
      </w:r>
      <w:r w:rsidRPr="009B1B0C">
        <w:rPr>
          <w:rFonts w:ascii="Arial" w:hAnsi="Arial" w:cs="Arial"/>
          <w:sz w:val="20"/>
          <w:szCs w:val="20"/>
        </w:rPr>
        <w:t xml:space="preserve">RAN2/4 </w:t>
      </w:r>
      <w:r w:rsidRPr="009B1B0C">
        <w:rPr>
          <w:rFonts w:ascii="Arial" w:hAnsi="Arial" w:cs="Arial"/>
          <w:sz w:val="20"/>
          <w:szCs w:val="20"/>
          <w:lang w:val="x-none"/>
        </w:rPr>
        <w:t xml:space="preserve">issues (including higher-layer impact) that need to be considered </w:t>
      </w:r>
      <w:r w:rsidRPr="009B1B0C">
        <w:rPr>
          <w:rFonts w:ascii="Arial" w:hAnsi="Arial" w:cs="Arial"/>
          <w:sz w:val="20"/>
          <w:szCs w:val="20"/>
        </w:rPr>
        <w:t>for deciding  between the two alternatives</w:t>
      </w:r>
      <w:r w:rsidRPr="009B1B0C">
        <w:rPr>
          <w:rFonts w:ascii="Arial" w:hAnsi="Arial" w:cs="Arial"/>
          <w:sz w:val="20"/>
          <w:szCs w:val="20"/>
          <w:lang w:val="x-none"/>
        </w:rPr>
        <w:t xml:space="preserve">? </w:t>
      </w:r>
    </w:p>
    <w:p w14:paraId="7C68DF51" w14:textId="60035F07" w:rsidR="009B1B0C" w:rsidRDefault="009B1B0C" w:rsidP="009B1B0C">
      <w:pPr>
        <w:rPr>
          <w:rFonts w:ascii="Arial" w:hAnsi="Arial" w:cs="Arial"/>
          <w:sz w:val="20"/>
          <w:szCs w:val="20"/>
          <w:lang w:val="en-GB"/>
        </w:rPr>
      </w:pPr>
      <w:r w:rsidRPr="00CD096D">
        <w:rPr>
          <w:rFonts w:ascii="Arial" w:hAnsi="Arial" w:cs="Arial"/>
          <w:b/>
          <w:bCs/>
          <w:sz w:val="20"/>
          <w:szCs w:val="20"/>
          <w:lang w:val="en-GB"/>
        </w:rPr>
        <w:t>[RAN4]</w:t>
      </w:r>
      <w:r w:rsidRPr="00CD096D">
        <w:rPr>
          <w:rFonts w:ascii="Arial" w:hAnsi="Arial" w:cs="Arial"/>
          <w:sz w:val="20"/>
          <w:szCs w:val="20"/>
          <w:lang w:val="en-GB"/>
        </w:rPr>
        <w:t xml:space="preserve"> </w:t>
      </w:r>
      <w:r w:rsidRPr="009B1B0C">
        <w:rPr>
          <w:rFonts w:ascii="Arial" w:hAnsi="Arial" w:cs="Arial"/>
          <w:sz w:val="20"/>
          <w:szCs w:val="20"/>
          <w:lang w:val="en-GB"/>
        </w:rPr>
        <w:t>From RAN4 viewpoint we don’t see a restriction in supporting L1/L2-centric inter-cell mobility and inter-cell multi-TRP operations in inter-band CA.</w:t>
      </w:r>
    </w:p>
    <w:p w14:paraId="7C618494" w14:textId="77777777" w:rsidR="009B1B0C" w:rsidRDefault="009B1B0C" w:rsidP="009B1B0C">
      <w:pPr>
        <w:rPr>
          <w:rFonts w:ascii="Arial" w:hAnsi="Arial" w:cs="Arial"/>
          <w:sz w:val="20"/>
          <w:szCs w:val="20"/>
          <w:lang w:val="en-GB"/>
        </w:rPr>
      </w:pPr>
    </w:p>
    <w:p w14:paraId="08E6910C" w14:textId="77777777" w:rsidR="009B1B0C" w:rsidRPr="00CD096D" w:rsidRDefault="009B1B0C" w:rsidP="009B1B0C">
      <w:pPr>
        <w:rPr>
          <w:rFonts w:ascii="Arial" w:hAnsi="Arial" w:cs="Arial"/>
          <w:b/>
          <w:bCs/>
          <w:sz w:val="20"/>
          <w:szCs w:val="20"/>
          <w:lang w:val="en-GB"/>
        </w:rPr>
      </w:pPr>
    </w:p>
    <w:p w14:paraId="4A169914" w14:textId="77777777" w:rsidR="009B1B0C" w:rsidRDefault="009B1B0C" w:rsidP="009B1B0C">
      <w:pPr>
        <w:rPr>
          <w:rFonts w:ascii="Arial" w:hAnsi="Arial" w:cs="Arial"/>
          <w:sz w:val="20"/>
          <w:szCs w:val="20"/>
          <w:lang w:val="en-GB"/>
        </w:rPr>
      </w:pPr>
      <w:r w:rsidRPr="00CD096D">
        <w:rPr>
          <w:rFonts w:ascii="Arial" w:hAnsi="Arial" w:cs="Arial"/>
          <w:b/>
          <w:bCs/>
          <w:sz w:val="20"/>
          <w:szCs w:val="20"/>
          <w:lang w:val="en-GB"/>
        </w:rPr>
        <w:t>Question 2:</w:t>
      </w:r>
      <w:r w:rsidRPr="00CD096D">
        <w:rPr>
          <w:rFonts w:ascii="Arial" w:hAnsi="Arial" w:cs="Arial"/>
          <w:sz w:val="20"/>
          <w:szCs w:val="20"/>
          <w:lang w:val="en-GB"/>
        </w:rPr>
        <w:t xml:space="preserve"> </w:t>
      </w:r>
      <w:r w:rsidRPr="009B1B0C">
        <w:rPr>
          <w:rFonts w:ascii="Arial" w:hAnsi="Arial" w:cs="Arial"/>
          <w:sz w:val="20"/>
          <w:szCs w:val="20"/>
          <w:lang w:val="en-GB"/>
        </w:rPr>
        <w:t xml:space="preserve">In regard of inter-frequency issues, from RAN2/4 perspective, what would be the higher-layer and RRM impact assuming inter-frequency scenarios as opposed to intra-frequency scenarios? For intra-frequency scenario, it is assumed that SSBs of non-serving cells have the same </w:t>
      </w:r>
      <w:proofErr w:type="spellStart"/>
      <w:r w:rsidRPr="009B1B0C">
        <w:rPr>
          <w:rFonts w:ascii="Arial" w:hAnsi="Arial" w:cs="Arial"/>
          <w:sz w:val="20"/>
          <w:szCs w:val="20"/>
          <w:lang w:val="en-GB"/>
        </w:rPr>
        <w:t>center</w:t>
      </w:r>
      <w:proofErr w:type="spellEnd"/>
      <w:r w:rsidRPr="009B1B0C">
        <w:rPr>
          <w:rFonts w:ascii="Arial" w:hAnsi="Arial" w:cs="Arial"/>
          <w:sz w:val="20"/>
          <w:szCs w:val="20"/>
          <w:lang w:val="en-GB"/>
        </w:rPr>
        <w:t xml:space="preserve"> frequency and SCS as the SSBs of the serving cell.</w:t>
      </w:r>
    </w:p>
    <w:p w14:paraId="3ED9928B" w14:textId="701754A1" w:rsidR="009B1B0C" w:rsidRPr="009B1B0C" w:rsidRDefault="009B1B0C" w:rsidP="009B1B0C">
      <w:pPr>
        <w:pStyle w:val="ListParagraph"/>
        <w:numPr>
          <w:ilvl w:val="0"/>
          <w:numId w:val="11"/>
        </w:numPr>
        <w:ind w:firstLineChars="0"/>
        <w:rPr>
          <w:rFonts w:ascii="Arial" w:hAnsi="Arial" w:cs="Arial"/>
          <w:sz w:val="20"/>
          <w:szCs w:val="20"/>
          <w:lang w:val="en-GB"/>
        </w:rPr>
      </w:pPr>
      <w:r w:rsidRPr="009B1B0C">
        <w:rPr>
          <w:rFonts w:ascii="Arial" w:hAnsi="Arial" w:cs="Arial"/>
          <w:sz w:val="20"/>
          <w:szCs w:val="20"/>
          <w:lang w:val="en-GB"/>
        </w:rPr>
        <w:t>Note: RAN1 has agreed to support intra-frequency scenarios, whereas the support for inter-frequency scenarios is still for further study.</w:t>
      </w:r>
    </w:p>
    <w:p w14:paraId="3FD4B15B" w14:textId="77777777" w:rsidR="009B1B0C" w:rsidRPr="009B1B0C" w:rsidRDefault="009B1B0C" w:rsidP="009B1B0C">
      <w:pPr>
        <w:rPr>
          <w:rFonts w:ascii="Arial" w:hAnsi="Arial" w:cs="Arial"/>
          <w:sz w:val="20"/>
          <w:szCs w:val="20"/>
          <w:lang w:val="en-GB"/>
        </w:rPr>
      </w:pPr>
      <w:r w:rsidRPr="00CD096D">
        <w:rPr>
          <w:rFonts w:ascii="Arial" w:hAnsi="Arial" w:cs="Arial"/>
          <w:b/>
          <w:bCs/>
          <w:sz w:val="20"/>
          <w:szCs w:val="20"/>
          <w:lang w:val="en-GB"/>
        </w:rPr>
        <w:t>[RAN4]</w:t>
      </w:r>
      <w:r w:rsidRPr="00CD096D">
        <w:rPr>
          <w:rFonts w:ascii="Arial" w:hAnsi="Arial" w:cs="Arial"/>
          <w:sz w:val="20"/>
          <w:szCs w:val="20"/>
          <w:lang w:val="en-GB"/>
        </w:rPr>
        <w:t xml:space="preserve"> </w:t>
      </w:r>
      <w:r w:rsidRPr="009B1B0C">
        <w:rPr>
          <w:rFonts w:ascii="Arial" w:hAnsi="Arial" w:cs="Arial"/>
          <w:sz w:val="20"/>
          <w:szCs w:val="20"/>
        </w:rPr>
        <w:t xml:space="preserve">With the assumption that there is deployment need for inter-frequency scenarios for </w:t>
      </w:r>
      <w:r w:rsidRPr="009B1B0C">
        <w:rPr>
          <w:rFonts w:ascii="Arial" w:hAnsi="Arial" w:cs="Arial"/>
          <w:sz w:val="20"/>
          <w:szCs w:val="20"/>
          <w:lang w:val="en-GB"/>
        </w:rPr>
        <w:t>L1/L2-centric inter-cell mobility</w:t>
      </w:r>
      <w:r w:rsidRPr="009B1B0C">
        <w:rPr>
          <w:rFonts w:ascii="Arial" w:hAnsi="Arial" w:cs="Arial"/>
          <w:sz w:val="20"/>
          <w:szCs w:val="20"/>
        </w:rPr>
        <w:t xml:space="preserve">, from RRM perspective </w:t>
      </w:r>
      <w:r w:rsidRPr="009B1B0C">
        <w:rPr>
          <w:rFonts w:ascii="Arial" w:hAnsi="Arial" w:cs="Arial"/>
          <w:sz w:val="20"/>
          <w:szCs w:val="20"/>
          <w:lang w:val="en-GB"/>
        </w:rPr>
        <w:t>the following aspects need to be considered to support it:</w:t>
      </w:r>
    </w:p>
    <w:p w14:paraId="5DA4BEA8" w14:textId="77777777" w:rsidR="009B1B0C" w:rsidRPr="009B1B0C" w:rsidRDefault="009B1B0C" w:rsidP="009B1B0C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sz w:val="20"/>
          <w:szCs w:val="20"/>
        </w:rPr>
      </w:pPr>
      <w:r w:rsidRPr="009B1B0C">
        <w:rPr>
          <w:rFonts w:ascii="Arial" w:hAnsi="Arial" w:cs="Arial"/>
          <w:sz w:val="20"/>
          <w:szCs w:val="20"/>
        </w:rPr>
        <w:t>Configuration of measurement gap to support L1-RSRP measurements on neighbor cell</w:t>
      </w:r>
    </w:p>
    <w:p w14:paraId="143321A1" w14:textId="77777777" w:rsidR="009B1B0C" w:rsidRPr="009B1B0C" w:rsidRDefault="009B1B0C" w:rsidP="009B1B0C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  <w:sz w:val="20"/>
          <w:szCs w:val="20"/>
        </w:rPr>
      </w:pPr>
      <w:r w:rsidRPr="009B1B0C">
        <w:rPr>
          <w:rFonts w:ascii="Arial" w:hAnsi="Arial" w:cs="Arial"/>
          <w:sz w:val="20"/>
          <w:szCs w:val="20"/>
        </w:rPr>
        <w:t>Additional delay for TCI state switch for inter-frequency scenario involving active BWP switch</w:t>
      </w:r>
    </w:p>
    <w:p w14:paraId="7A576B4F" w14:textId="089DD4DD" w:rsidR="009B1B0C" w:rsidRPr="00CD096D" w:rsidRDefault="009B1B0C" w:rsidP="009B1B0C">
      <w:pPr>
        <w:rPr>
          <w:rFonts w:ascii="Arial" w:hAnsi="Arial" w:cs="Arial"/>
          <w:sz w:val="20"/>
          <w:szCs w:val="20"/>
          <w:lang w:val="en-GB"/>
        </w:rPr>
      </w:pPr>
    </w:p>
    <w:p w14:paraId="06BCB0F6" w14:textId="77777777" w:rsidR="009B1B0C" w:rsidRPr="00CD096D" w:rsidRDefault="009B1B0C" w:rsidP="009B1B0C">
      <w:pPr>
        <w:ind w:left="72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4A1C3484" w14:textId="77777777" w:rsidR="009B1B0C" w:rsidRDefault="009B1B0C" w:rsidP="009B1B0C">
      <w:pPr>
        <w:ind w:left="720"/>
        <w:rPr>
          <w:rFonts w:ascii="Arial" w:hAnsi="Arial" w:cs="Arial"/>
          <w:sz w:val="20"/>
          <w:szCs w:val="20"/>
        </w:rPr>
      </w:pPr>
    </w:p>
    <w:p w14:paraId="37178D96" w14:textId="77777777" w:rsidR="009B1B0C" w:rsidRPr="00C45793" w:rsidRDefault="009B1B0C" w:rsidP="009B1B0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>
        <w:rPr>
          <w:rFonts w:ascii="Arial" w:hAnsi="Arial" w:cs="Arial"/>
          <w:b/>
        </w:rPr>
        <w:t>1</w:t>
      </w:r>
      <w:r w:rsidRPr="00C45793">
        <w:rPr>
          <w:rFonts w:ascii="Arial" w:hAnsi="Arial" w:cs="Arial"/>
          <w:b/>
        </w:rPr>
        <w:t xml:space="preserve"> group. </w:t>
      </w:r>
    </w:p>
    <w:p w14:paraId="0B237CE5" w14:textId="4431FA15" w:rsidR="009B1B0C" w:rsidRPr="000F46D1" w:rsidRDefault="009B1B0C" w:rsidP="009B1B0C">
      <w:pPr>
        <w:spacing w:after="120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eastAsia="zh-CN"/>
        </w:rPr>
        <w:t>RAN4 requests RAN1 to take the above responses into consideration.</w:t>
      </w:r>
    </w:p>
    <w:p w14:paraId="6B7B05A6" w14:textId="77777777" w:rsidR="009B1B0C" w:rsidRDefault="009B1B0C" w:rsidP="009B1B0C">
      <w:pPr>
        <w:spacing w:after="120"/>
        <w:ind w:left="720"/>
        <w:rPr>
          <w:rFonts w:ascii="Arial" w:hAnsi="Arial" w:cs="Arial"/>
          <w:lang w:eastAsia="zh-CN"/>
        </w:rPr>
      </w:pPr>
    </w:p>
    <w:p w14:paraId="6994B4CD" w14:textId="77777777" w:rsidR="009B1B0C" w:rsidRPr="00C45793" w:rsidRDefault="009B1B0C" w:rsidP="009B1B0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70BBF900" w14:textId="77777777" w:rsidR="009B1B0C" w:rsidRDefault="009B1B0C" w:rsidP="009B1B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#99-e</w:t>
      </w:r>
      <w:r w:rsidRPr="00D2324E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 xml:space="preserve">        May 19</w:t>
      </w:r>
      <w:r w:rsidRPr="00D2324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27,</w:t>
      </w:r>
      <w:r w:rsidRPr="00D2324E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 xml:space="preserve">21            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Online</w:t>
      </w:r>
    </w:p>
    <w:p w14:paraId="764C75F3" w14:textId="77777777" w:rsidR="009B1B0C" w:rsidRPr="00CD096D" w:rsidRDefault="009B1B0C" w:rsidP="009B1B0C">
      <w:pPr>
        <w:rPr>
          <w:rFonts w:ascii="Arial" w:hAnsi="Arial" w:cs="Arial"/>
          <w:sz w:val="20"/>
          <w:szCs w:val="20"/>
        </w:rPr>
      </w:pPr>
    </w:p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﷽﷽﷽﷽﷽﷽覑衈ĝዀ"/>
    <w:panose1 w:val="00000500000000020000"/>
    <w:charset w:val="00"/>
    <w:family w:val="auto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8D93868"/>
    <w:multiLevelType w:val="hybridMultilevel"/>
    <w:tmpl w:val="A4828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724EF"/>
    <w:multiLevelType w:val="hybridMultilevel"/>
    <w:tmpl w:val="90EAC6B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CD42D3"/>
    <w:multiLevelType w:val="hybridMultilevel"/>
    <w:tmpl w:val="91A26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8492E"/>
    <w:multiLevelType w:val="hybridMultilevel"/>
    <w:tmpl w:val="BE6CDECA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F556F5"/>
    <w:multiLevelType w:val="hybridMultilevel"/>
    <w:tmpl w:val="A4828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FFA499E"/>
    <w:multiLevelType w:val="hybridMultilevel"/>
    <w:tmpl w:val="07EE78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2BE4066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0359"/>
    <w:rsid w:val="000F497E"/>
    <w:rsid w:val="00121828"/>
    <w:rsid w:val="00177147"/>
    <w:rsid w:val="001B5D0A"/>
    <w:rsid w:val="001C663E"/>
    <w:rsid w:val="00255755"/>
    <w:rsid w:val="002870EA"/>
    <w:rsid w:val="002F4FA3"/>
    <w:rsid w:val="004C1BA4"/>
    <w:rsid w:val="004D1584"/>
    <w:rsid w:val="005B410D"/>
    <w:rsid w:val="005D1B1F"/>
    <w:rsid w:val="005E68DB"/>
    <w:rsid w:val="007A3BE1"/>
    <w:rsid w:val="007C626C"/>
    <w:rsid w:val="00924CB2"/>
    <w:rsid w:val="00951300"/>
    <w:rsid w:val="009B1B0C"/>
    <w:rsid w:val="009C4485"/>
    <w:rsid w:val="009D596C"/>
    <w:rsid w:val="009F52D7"/>
    <w:rsid w:val="00B910DC"/>
    <w:rsid w:val="00BC5064"/>
    <w:rsid w:val="00CD0F63"/>
    <w:rsid w:val="00DB6943"/>
    <w:rsid w:val="00DF1ED2"/>
    <w:rsid w:val="00E5586A"/>
    <w:rsid w:val="00E9138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1B0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1B0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C506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C5064"/>
    <w:rPr>
      <w:rFonts w:ascii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BC5064"/>
    <w:rPr>
      <w:sz w:val="16"/>
    </w:rPr>
  </w:style>
  <w:style w:type="table" w:styleId="TableGrid">
    <w:name w:val="Table Grid"/>
    <w:basedOn w:val="TableNormal"/>
    <w:uiPriority w:val="39"/>
    <w:rsid w:val="00BC5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9B1B0C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1B0C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 Raghavan</cp:lastModifiedBy>
  <cp:revision>2</cp:revision>
  <dcterms:created xsi:type="dcterms:W3CDTF">2021-04-02T00:33:00Z</dcterms:created>
  <dcterms:modified xsi:type="dcterms:W3CDTF">2021-04-02T00:33:00Z</dcterms:modified>
</cp:coreProperties>
</file>